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8A404" w14:textId="10B561C2" w:rsidR="00CA5AB5" w:rsidRDefault="004F0604" w:rsidP="004F0604">
      <w:pPr>
        <w:jc w:val="center"/>
        <w:rPr>
          <w:b/>
          <w:bCs/>
          <w:sz w:val="28"/>
          <w:szCs w:val="28"/>
        </w:rPr>
      </w:pPr>
      <w:r w:rsidRPr="00CF4D4F">
        <w:rPr>
          <w:b/>
          <w:bCs/>
          <w:sz w:val="28"/>
          <w:szCs w:val="28"/>
        </w:rPr>
        <w:t>Concur Terminology Reference Guide</w:t>
      </w:r>
    </w:p>
    <w:p w14:paraId="33547CA5" w14:textId="1E20292F" w:rsidR="00702466" w:rsidRPr="00CF4D4F" w:rsidRDefault="00702466" w:rsidP="00702466">
      <w:pPr>
        <w:rPr>
          <w:b/>
          <w:bCs/>
          <w:sz w:val="28"/>
          <w:szCs w:val="28"/>
        </w:rPr>
      </w:pPr>
      <w:r>
        <w:rPr>
          <w:sz w:val="28"/>
          <w:szCs w:val="28"/>
        </w:rPr>
        <w:t>The following is a list of common Concur term</w:t>
      </w:r>
      <w:r w:rsidR="00A4604C">
        <w:rPr>
          <w:sz w:val="28"/>
          <w:szCs w:val="28"/>
        </w:rPr>
        <w:t>inology</w:t>
      </w:r>
      <w:r>
        <w:rPr>
          <w:sz w:val="28"/>
          <w:szCs w:val="28"/>
        </w:rPr>
        <w:t xml:space="preserve">, intended to be used as a quick reference guide.  Users should consult the Concur </w:t>
      </w:r>
      <w:hyperlink r:id="rId5" w:history="1">
        <w:r w:rsidRPr="00702466">
          <w:rPr>
            <w:rStyle w:val="Hyperlink"/>
            <w:sz w:val="28"/>
            <w:szCs w:val="28"/>
          </w:rPr>
          <w:t>website</w:t>
        </w:r>
      </w:hyperlink>
      <w:r>
        <w:rPr>
          <w:sz w:val="28"/>
          <w:szCs w:val="28"/>
        </w:rPr>
        <w:t xml:space="preserve"> for detailed resources before contacting </w:t>
      </w:r>
      <w:hyperlink r:id="rId6" w:history="1">
        <w:r w:rsidRPr="00702466">
          <w:rPr>
            <w:rStyle w:val="Hyperlink"/>
            <w:sz w:val="28"/>
            <w:szCs w:val="28"/>
          </w:rPr>
          <w:t>Concur Support</w:t>
        </w:r>
      </w:hyperlink>
      <w:r>
        <w:rPr>
          <w:sz w:val="28"/>
          <w:szCs w:val="28"/>
        </w:rPr>
        <w:t xml:space="preserve"> for assistance. </w:t>
      </w:r>
    </w:p>
    <w:p w14:paraId="1DE8FDB1" w14:textId="3AB2CB04" w:rsidR="004F0604" w:rsidRDefault="004F0604" w:rsidP="004F0604">
      <w:pPr>
        <w:rPr>
          <w:b/>
          <w:bCs/>
          <w:color w:val="7030A0"/>
          <w:sz w:val="28"/>
          <w:szCs w:val="28"/>
        </w:rPr>
      </w:pPr>
      <w:r w:rsidRPr="004F0604">
        <w:rPr>
          <w:b/>
          <w:bCs/>
          <w:color w:val="7030A0"/>
          <w:sz w:val="28"/>
          <w:szCs w:val="28"/>
        </w:rPr>
        <w:t>General Information</w:t>
      </w:r>
    </w:p>
    <w:p w14:paraId="0190B183" w14:textId="0B837D1B" w:rsidR="004F0604" w:rsidRDefault="004F0604" w:rsidP="004F0604">
      <w:pPr>
        <w:pStyle w:val="ListParagraph"/>
        <w:numPr>
          <w:ilvl w:val="0"/>
          <w:numId w:val="3"/>
        </w:numPr>
        <w:rPr>
          <w:sz w:val="28"/>
          <w:szCs w:val="28"/>
        </w:rPr>
      </w:pPr>
      <w:r>
        <w:rPr>
          <w:sz w:val="28"/>
          <w:szCs w:val="28"/>
        </w:rPr>
        <w:t>Request</w:t>
      </w:r>
      <w:r w:rsidR="00EB4866">
        <w:rPr>
          <w:sz w:val="28"/>
          <w:szCs w:val="28"/>
        </w:rPr>
        <w:t xml:space="preserve"> (also referred to as an Authorization Request)</w:t>
      </w:r>
    </w:p>
    <w:p w14:paraId="0F0D5B22" w14:textId="735B9AAA" w:rsidR="004F0604" w:rsidRDefault="004F0604" w:rsidP="004F0604">
      <w:pPr>
        <w:pStyle w:val="ListParagraph"/>
        <w:numPr>
          <w:ilvl w:val="1"/>
          <w:numId w:val="3"/>
        </w:numPr>
        <w:rPr>
          <w:sz w:val="28"/>
          <w:szCs w:val="28"/>
        </w:rPr>
      </w:pPr>
      <w:r>
        <w:rPr>
          <w:sz w:val="28"/>
          <w:szCs w:val="28"/>
        </w:rPr>
        <w:t>Required for all employee travel with an overnight stay</w:t>
      </w:r>
    </w:p>
    <w:p w14:paraId="40A6A60C" w14:textId="384FE2DB" w:rsidR="004F0604" w:rsidRDefault="004F0604" w:rsidP="004F0604">
      <w:pPr>
        <w:pStyle w:val="ListParagraph"/>
        <w:numPr>
          <w:ilvl w:val="1"/>
          <w:numId w:val="3"/>
        </w:numPr>
        <w:rPr>
          <w:sz w:val="28"/>
          <w:szCs w:val="28"/>
        </w:rPr>
      </w:pPr>
      <w:r>
        <w:rPr>
          <w:sz w:val="28"/>
          <w:szCs w:val="28"/>
        </w:rPr>
        <w:t xml:space="preserve">Used to request a TCU </w:t>
      </w:r>
      <w:r w:rsidR="00CF4D4F">
        <w:rPr>
          <w:sz w:val="28"/>
          <w:szCs w:val="28"/>
        </w:rPr>
        <w:t xml:space="preserve">credit </w:t>
      </w:r>
      <w:r>
        <w:rPr>
          <w:sz w:val="28"/>
          <w:szCs w:val="28"/>
        </w:rPr>
        <w:t>card</w:t>
      </w:r>
      <w:r w:rsidR="00CF4D4F">
        <w:rPr>
          <w:sz w:val="28"/>
          <w:szCs w:val="28"/>
        </w:rPr>
        <w:t xml:space="preserve"> (purchasing card or travel card)</w:t>
      </w:r>
      <w:r>
        <w:rPr>
          <w:sz w:val="28"/>
          <w:szCs w:val="28"/>
        </w:rPr>
        <w:t xml:space="preserve"> or to request an update to a</w:t>
      </w:r>
      <w:r w:rsidR="00A4604C">
        <w:rPr>
          <w:sz w:val="28"/>
          <w:szCs w:val="28"/>
        </w:rPr>
        <w:t>n existing</w:t>
      </w:r>
      <w:r>
        <w:rPr>
          <w:sz w:val="28"/>
          <w:szCs w:val="28"/>
        </w:rPr>
        <w:t xml:space="preserve"> TCU </w:t>
      </w:r>
      <w:r w:rsidR="00CF4D4F">
        <w:rPr>
          <w:sz w:val="28"/>
          <w:szCs w:val="28"/>
        </w:rPr>
        <w:t xml:space="preserve">credit </w:t>
      </w:r>
      <w:r>
        <w:rPr>
          <w:sz w:val="28"/>
          <w:szCs w:val="28"/>
        </w:rPr>
        <w:t>card</w:t>
      </w:r>
    </w:p>
    <w:p w14:paraId="4760F255" w14:textId="77777777" w:rsidR="00250E50" w:rsidRDefault="00250E50" w:rsidP="00250E50">
      <w:pPr>
        <w:pStyle w:val="ListParagraph"/>
        <w:ind w:left="360"/>
        <w:rPr>
          <w:sz w:val="28"/>
          <w:szCs w:val="28"/>
        </w:rPr>
      </w:pPr>
    </w:p>
    <w:p w14:paraId="5A2CB2C1" w14:textId="072C9C7A" w:rsidR="00250E50" w:rsidRDefault="00250E50" w:rsidP="00250E50">
      <w:pPr>
        <w:pStyle w:val="ListParagraph"/>
        <w:ind w:left="360"/>
        <w:rPr>
          <w:sz w:val="28"/>
          <w:szCs w:val="28"/>
        </w:rPr>
      </w:pPr>
      <w:r>
        <w:rPr>
          <w:sz w:val="28"/>
          <w:szCs w:val="28"/>
        </w:rPr>
        <w:t>Request(s) for travel are estimates and are designed as a tool for departments to monitor expected expenditures versus actual expenses.  Information entered in the Request header pulls into respective expense reports, however attachments and line-item detail does not flow into expense reports.  Users should work with their department regarding the level of detail required in Request</w:t>
      </w:r>
      <w:r w:rsidR="00162C5E">
        <w:rPr>
          <w:sz w:val="28"/>
          <w:szCs w:val="28"/>
        </w:rPr>
        <w:t>(</w:t>
      </w:r>
      <w:r>
        <w:rPr>
          <w:sz w:val="28"/>
          <w:szCs w:val="28"/>
        </w:rPr>
        <w:t>s</w:t>
      </w:r>
      <w:r w:rsidR="00162C5E">
        <w:rPr>
          <w:sz w:val="28"/>
          <w:szCs w:val="28"/>
        </w:rPr>
        <w:t>)</w:t>
      </w:r>
      <w:r>
        <w:rPr>
          <w:sz w:val="28"/>
          <w:szCs w:val="28"/>
        </w:rPr>
        <w:t>.</w:t>
      </w:r>
    </w:p>
    <w:p w14:paraId="51E9241D" w14:textId="77777777" w:rsidR="004F0604" w:rsidRDefault="004F0604" w:rsidP="004F0604">
      <w:pPr>
        <w:pStyle w:val="ListParagraph"/>
        <w:ind w:left="1080"/>
        <w:rPr>
          <w:sz w:val="28"/>
          <w:szCs w:val="28"/>
        </w:rPr>
      </w:pPr>
    </w:p>
    <w:p w14:paraId="053C6361" w14:textId="30D16492" w:rsidR="004F0604" w:rsidRDefault="004F0604" w:rsidP="004F0604">
      <w:pPr>
        <w:pStyle w:val="ListParagraph"/>
        <w:numPr>
          <w:ilvl w:val="0"/>
          <w:numId w:val="3"/>
        </w:numPr>
        <w:rPr>
          <w:sz w:val="28"/>
          <w:szCs w:val="28"/>
        </w:rPr>
      </w:pPr>
      <w:r>
        <w:rPr>
          <w:sz w:val="28"/>
          <w:szCs w:val="28"/>
        </w:rPr>
        <w:t>Report</w:t>
      </w:r>
      <w:r w:rsidR="003E2F96">
        <w:rPr>
          <w:sz w:val="28"/>
          <w:szCs w:val="28"/>
        </w:rPr>
        <w:t xml:space="preserve"> (also referred to as Expense</w:t>
      </w:r>
      <w:r w:rsidR="00CF4D4F">
        <w:rPr>
          <w:sz w:val="28"/>
          <w:szCs w:val="28"/>
        </w:rPr>
        <w:t xml:space="preserve"> Report</w:t>
      </w:r>
      <w:r w:rsidR="003E2F96">
        <w:rPr>
          <w:sz w:val="28"/>
          <w:szCs w:val="28"/>
        </w:rPr>
        <w:t xml:space="preserve"> in Concur)</w:t>
      </w:r>
    </w:p>
    <w:p w14:paraId="45718910" w14:textId="1558AFDD" w:rsidR="004F0604" w:rsidRDefault="004F0604" w:rsidP="004F0604">
      <w:pPr>
        <w:pStyle w:val="ListParagraph"/>
        <w:numPr>
          <w:ilvl w:val="1"/>
          <w:numId w:val="3"/>
        </w:numPr>
        <w:rPr>
          <w:sz w:val="28"/>
          <w:szCs w:val="28"/>
        </w:rPr>
      </w:pPr>
      <w:r>
        <w:rPr>
          <w:sz w:val="28"/>
          <w:szCs w:val="28"/>
        </w:rPr>
        <w:t xml:space="preserve">Used to request reimbursement </w:t>
      </w:r>
    </w:p>
    <w:p w14:paraId="134D8E2A" w14:textId="5718A37D" w:rsidR="004F0604" w:rsidRDefault="004F0604" w:rsidP="004F0604">
      <w:pPr>
        <w:pStyle w:val="ListParagraph"/>
        <w:numPr>
          <w:ilvl w:val="1"/>
          <w:numId w:val="3"/>
        </w:numPr>
        <w:rPr>
          <w:sz w:val="28"/>
          <w:szCs w:val="28"/>
        </w:rPr>
      </w:pPr>
      <w:r>
        <w:rPr>
          <w:sz w:val="28"/>
          <w:szCs w:val="28"/>
        </w:rPr>
        <w:t xml:space="preserve">Used to action TCU </w:t>
      </w:r>
      <w:r w:rsidR="00CF4D4F">
        <w:rPr>
          <w:sz w:val="28"/>
          <w:szCs w:val="28"/>
        </w:rPr>
        <w:t xml:space="preserve">credit </w:t>
      </w:r>
      <w:r>
        <w:rPr>
          <w:sz w:val="28"/>
          <w:szCs w:val="28"/>
        </w:rPr>
        <w:t>card charges</w:t>
      </w:r>
    </w:p>
    <w:p w14:paraId="59886E5A" w14:textId="77777777" w:rsidR="00250E50" w:rsidRDefault="00250E50" w:rsidP="00250E50">
      <w:pPr>
        <w:pStyle w:val="ListParagraph"/>
        <w:ind w:left="1080"/>
        <w:rPr>
          <w:sz w:val="28"/>
          <w:szCs w:val="28"/>
        </w:rPr>
      </w:pPr>
    </w:p>
    <w:p w14:paraId="1F557103" w14:textId="1727F800" w:rsidR="00250E50" w:rsidRPr="00EF5705" w:rsidRDefault="00250E50" w:rsidP="00250E50">
      <w:pPr>
        <w:pStyle w:val="ListParagraph"/>
        <w:ind w:left="360"/>
        <w:rPr>
          <w:i/>
          <w:iCs/>
          <w:sz w:val="28"/>
          <w:szCs w:val="28"/>
        </w:rPr>
      </w:pPr>
      <w:r>
        <w:rPr>
          <w:sz w:val="28"/>
          <w:szCs w:val="28"/>
        </w:rPr>
        <w:t xml:space="preserve">Report(s) include employee, student and guest reimbursements as well as used to action TCU </w:t>
      </w:r>
      <w:r w:rsidR="00CF4D4F">
        <w:rPr>
          <w:sz w:val="28"/>
          <w:szCs w:val="28"/>
        </w:rPr>
        <w:t xml:space="preserve">credit </w:t>
      </w:r>
      <w:r>
        <w:rPr>
          <w:sz w:val="28"/>
          <w:szCs w:val="28"/>
        </w:rPr>
        <w:t xml:space="preserve">card charges (see #4 below).  </w:t>
      </w:r>
      <w:r w:rsidR="00CF4D4F">
        <w:rPr>
          <w:sz w:val="28"/>
          <w:szCs w:val="28"/>
        </w:rPr>
        <w:t>Students and guests do not have access to Concur; a</w:t>
      </w:r>
      <w:r>
        <w:rPr>
          <w:sz w:val="28"/>
          <w:szCs w:val="28"/>
        </w:rPr>
        <w:t xml:space="preserve"> TCU employee </w:t>
      </w:r>
      <w:r w:rsidR="00CF4D4F">
        <w:rPr>
          <w:sz w:val="28"/>
          <w:szCs w:val="28"/>
        </w:rPr>
        <w:t xml:space="preserve">must submit a </w:t>
      </w:r>
      <w:r>
        <w:rPr>
          <w:sz w:val="28"/>
          <w:szCs w:val="28"/>
        </w:rPr>
        <w:t>reimbursement</w:t>
      </w:r>
      <w:r w:rsidR="00CF4D4F">
        <w:rPr>
          <w:sz w:val="28"/>
          <w:szCs w:val="28"/>
        </w:rPr>
        <w:t xml:space="preserve"> report</w:t>
      </w:r>
      <w:r>
        <w:rPr>
          <w:sz w:val="28"/>
          <w:szCs w:val="28"/>
        </w:rPr>
        <w:t xml:space="preserve"> for students and guests.  To reimburse a student or guest, employees </w:t>
      </w:r>
      <w:r w:rsidRPr="00EF5705">
        <w:rPr>
          <w:sz w:val="28"/>
          <w:szCs w:val="28"/>
        </w:rPr>
        <w:t>must</w:t>
      </w:r>
      <w:r w:rsidRPr="00EF5705">
        <w:rPr>
          <w:i/>
          <w:iCs/>
          <w:sz w:val="28"/>
          <w:szCs w:val="28"/>
        </w:rPr>
        <w:t xml:space="preserve"> </w:t>
      </w:r>
      <w:r>
        <w:rPr>
          <w:sz w:val="28"/>
          <w:szCs w:val="28"/>
        </w:rPr>
        <w:t xml:space="preserve">select the TCU Student Reimbursements or TCU Guest Reimbursements Report Type.  </w:t>
      </w:r>
      <w:r w:rsidRPr="00EF5705">
        <w:rPr>
          <w:i/>
          <w:iCs/>
          <w:sz w:val="28"/>
          <w:szCs w:val="28"/>
        </w:rPr>
        <w:t>Caution – If users do not select student or guest reimbursements</w:t>
      </w:r>
      <w:r w:rsidR="00EF5705" w:rsidRPr="00EF5705">
        <w:rPr>
          <w:i/>
          <w:iCs/>
          <w:sz w:val="28"/>
          <w:szCs w:val="28"/>
        </w:rPr>
        <w:t xml:space="preserve"> in the Report Type</w:t>
      </w:r>
      <w:r w:rsidRPr="00EF5705">
        <w:rPr>
          <w:i/>
          <w:iCs/>
          <w:sz w:val="28"/>
          <w:szCs w:val="28"/>
        </w:rPr>
        <w:t xml:space="preserve">, </w:t>
      </w:r>
      <w:r w:rsidR="00EF5705" w:rsidRPr="00EF5705">
        <w:rPr>
          <w:i/>
          <w:iCs/>
          <w:sz w:val="28"/>
          <w:szCs w:val="28"/>
        </w:rPr>
        <w:t xml:space="preserve">the employee will be paid rather than the student or guest. </w:t>
      </w:r>
    </w:p>
    <w:p w14:paraId="767E2A3B" w14:textId="77777777" w:rsidR="003E2F96" w:rsidRDefault="003E2F96" w:rsidP="003E2F96">
      <w:pPr>
        <w:pStyle w:val="ListParagraph"/>
        <w:ind w:left="1080"/>
        <w:rPr>
          <w:sz w:val="28"/>
          <w:szCs w:val="28"/>
        </w:rPr>
      </w:pPr>
    </w:p>
    <w:p w14:paraId="0508F798" w14:textId="71D19F51" w:rsidR="003E2F96" w:rsidRDefault="00CF4D4F" w:rsidP="003E2F96">
      <w:pPr>
        <w:pStyle w:val="ListParagraph"/>
        <w:numPr>
          <w:ilvl w:val="0"/>
          <w:numId w:val="3"/>
        </w:numPr>
        <w:rPr>
          <w:sz w:val="28"/>
          <w:szCs w:val="28"/>
        </w:rPr>
      </w:pPr>
      <w:r>
        <w:rPr>
          <w:sz w:val="28"/>
          <w:szCs w:val="28"/>
        </w:rPr>
        <w:t xml:space="preserve">Concur </w:t>
      </w:r>
      <w:r w:rsidR="003E2F96">
        <w:rPr>
          <w:sz w:val="28"/>
          <w:szCs w:val="28"/>
        </w:rPr>
        <w:t xml:space="preserve">Travel </w:t>
      </w:r>
    </w:p>
    <w:p w14:paraId="603B5258" w14:textId="1A76FF43" w:rsidR="003E2F96" w:rsidRDefault="009134FE" w:rsidP="003E2F96">
      <w:pPr>
        <w:pStyle w:val="ListParagraph"/>
        <w:numPr>
          <w:ilvl w:val="1"/>
          <w:numId w:val="3"/>
        </w:numPr>
        <w:rPr>
          <w:sz w:val="28"/>
          <w:szCs w:val="28"/>
        </w:rPr>
      </w:pPr>
      <w:r>
        <w:rPr>
          <w:sz w:val="28"/>
          <w:szCs w:val="28"/>
        </w:rPr>
        <w:t>Allows users to b</w:t>
      </w:r>
      <w:r w:rsidR="003E2F96">
        <w:rPr>
          <w:sz w:val="28"/>
          <w:szCs w:val="28"/>
        </w:rPr>
        <w:t xml:space="preserve">ook hotel </w:t>
      </w:r>
      <w:r>
        <w:rPr>
          <w:sz w:val="28"/>
          <w:szCs w:val="28"/>
        </w:rPr>
        <w:t xml:space="preserve">accommodations </w:t>
      </w:r>
      <w:r w:rsidR="003E2F96">
        <w:rPr>
          <w:sz w:val="28"/>
          <w:szCs w:val="28"/>
        </w:rPr>
        <w:t>and air</w:t>
      </w:r>
      <w:r>
        <w:rPr>
          <w:sz w:val="28"/>
          <w:szCs w:val="28"/>
        </w:rPr>
        <w:t>fare</w:t>
      </w:r>
      <w:r w:rsidR="003E2F96">
        <w:rPr>
          <w:sz w:val="28"/>
          <w:szCs w:val="28"/>
        </w:rPr>
        <w:t xml:space="preserve"> in Concur</w:t>
      </w:r>
    </w:p>
    <w:p w14:paraId="26D17C2A" w14:textId="6DACC7CB" w:rsidR="009134FE" w:rsidRPr="003E2F96" w:rsidRDefault="009134FE" w:rsidP="003E2F96">
      <w:pPr>
        <w:pStyle w:val="ListParagraph"/>
        <w:numPr>
          <w:ilvl w:val="1"/>
          <w:numId w:val="3"/>
        </w:numPr>
        <w:rPr>
          <w:sz w:val="28"/>
          <w:szCs w:val="28"/>
        </w:rPr>
      </w:pPr>
      <w:r>
        <w:rPr>
          <w:sz w:val="28"/>
          <w:szCs w:val="28"/>
        </w:rPr>
        <w:lastRenderedPageBreak/>
        <w:t xml:space="preserve">Provides contact information for Anthony Travel, TCU’s Agent-Assisted Support representative to assist with your </w:t>
      </w:r>
      <w:r w:rsidR="00CF4D4F">
        <w:rPr>
          <w:sz w:val="28"/>
          <w:szCs w:val="28"/>
        </w:rPr>
        <w:t xml:space="preserve">travel </w:t>
      </w:r>
      <w:r>
        <w:rPr>
          <w:sz w:val="28"/>
          <w:szCs w:val="28"/>
        </w:rPr>
        <w:t>reservations, cancellations and/or changes</w:t>
      </w:r>
    </w:p>
    <w:p w14:paraId="482890E7" w14:textId="77777777" w:rsidR="004F0604" w:rsidRDefault="004F0604" w:rsidP="004F0604">
      <w:pPr>
        <w:pStyle w:val="ListParagraph"/>
        <w:ind w:left="1080"/>
        <w:rPr>
          <w:sz w:val="28"/>
          <w:szCs w:val="28"/>
        </w:rPr>
      </w:pPr>
    </w:p>
    <w:p w14:paraId="051B41F8" w14:textId="3F82653F" w:rsidR="007B25AC" w:rsidRDefault="004F0604" w:rsidP="007B25AC">
      <w:pPr>
        <w:pStyle w:val="ListParagraph"/>
        <w:numPr>
          <w:ilvl w:val="0"/>
          <w:numId w:val="3"/>
        </w:numPr>
        <w:rPr>
          <w:sz w:val="28"/>
          <w:szCs w:val="28"/>
        </w:rPr>
      </w:pPr>
      <w:r w:rsidRPr="004F0604">
        <w:rPr>
          <w:sz w:val="28"/>
          <w:szCs w:val="28"/>
        </w:rPr>
        <w:t xml:space="preserve">Action TCU </w:t>
      </w:r>
      <w:r w:rsidR="00CF4D4F">
        <w:rPr>
          <w:sz w:val="28"/>
          <w:szCs w:val="28"/>
        </w:rPr>
        <w:t xml:space="preserve">credit </w:t>
      </w:r>
      <w:r w:rsidRPr="004F0604">
        <w:rPr>
          <w:sz w:val="28"/>
          <w:szCs w:val="28"/>
        </w:rPr>
        <w:t xml:space="preserve">card charges - All TCU </w:t>
      </w:r>
      <w:r w:rsidR="00CF4D4F">
        <w:rPr>
          <w:sz w:val="28"/>
          <w:szCs w:val="28"/>
        </w:rPr>
        <w:t xml:space="preserve">credit </w:t>
      </w:r>
      <w:r w:rsidRPr="004F0604">
        <w:rPr>
          <w:sz w:val="28"/>
          <w:szCs w:val="28"/>
        </w:rPr>
        <w:t xml:space="preserve">card charges must be </w:t>
      </w:r>
      <w:r w:rsidR="003E2F96">
        <w:rPr>
          <w:sz w:val="28"/>
          <w:szCs w:val="28"/>
        </w:rPr>
        <w:t>added</w:t>
      </w:r>
      <w:r w:rsidRPr="004F0604">
        <w:rPr>
          <w:sz w:val="28"/>
          <w:szCs w:val="28"/>
        </w:rPr>
        <w:t xml:space="preserve"> to a report within 30 days of the transaction.  </w:t>
      </w:r>
      <w:r>
        <w:rPr>
          <w:sz w:val="28"/>
          <w:szCs w:val="28"/>
        </w:rPr>
        <w:t xml:space="preserve">TCU </w:t>
      </w:r>
      <w:r w:rsidR="00CF4D4F">
        <w:rPr>
          <w:sz w:val="28"/>
          <w:szCs w:val="28"/>
        </w:rPr>
        <w:t xml:space="preserve">credit </w:t>
      </w:r>
      <w:r>
        <w:rPr>
          <w:sz w:val="28"/>
          <w:szCs w:val="28"/>
        </w:rPr>
        <w:t xml:space="preserve">card charges feed into your Concur dashboard under Available Expenses.  </w:t>
      </w:r>
      <w:r w:rsidR="003E2F96">
        <w:rPr>
          <w:sz w:val="28"/>
          <w:szCs w:val="28"/>
        </w:rPr>
        <w:t xml:space="preserve">Adding </w:t>
      </w:r>
      <w:r w:rsidR="00CF4D4F">
        <w:rPr>
          <w:sz w:val="28"/>
          <w:szCs w:val="28"/>
        </w:rPr>
        <w:t xml:space="preserve">TCU credit </w:t>
      </w:r>
      <w:r w:rsidR="003E2F96">
        <w:rPr>
          <w:sz w:val="28"/>
          <w:szCs w:val="28"/>
        </w:rPr>
        <w:t xml:space="preserve">card charges to a report includes </w:t>
      </w:r>
      <w:r w:rsidRPr="004F0604">
        <w:rPr>
          <w:sz w:val="28"/>
          <w:szCs w:val="28"/>
        </w:rPr>
        <w:t>ensuring the expense type and budget information is accurate</w:t>
      </w:r>
      <w:r w:rsidR="003E2F96">
        <w:rPr>
          <w:sz w:val="28"/>
          <w:szCs w:val="28"/>
        </w:rPr>
        <w:t>, along with completing required fields.  Users submit their report after travel, once all expenses (TCU c</w:t>
      </w:r>
      <w:r w:rsidR="00CF4D4F">
        <w:rPr>
          <w:sz w:val="28"/>
          <w:szCs w:val="28"/>
        </w:rPr>
        <w:t>redit c</w:t>
      </w:r>
      <w:r w:rsidR="003E2F96">
        <w:rPr>
          <w:sz w:val="28"/>
          <w:szCs w:val="28"/>
        </w:rPr>
        <w:t>ard charges and personal payments) have been added to their report.</w:t>
      </w:r>
    </w:p>
    <w:p w14:paraId="40EF09C3" w14:textId="77777777" w:rsidR="00A4604C" w:rsidRDefault="00A4604C" w:rsidP="00A4604C">
      <w:pPr>
        <w:pStyle w:val="ListParagraph"/>
        <w:ind w:left="360"/>
        <w:rPr>
          <w:sz w:val="28"/>
          <w:szCs w:val="28"/>
        </w:rPr>
      </w:pPr>
    </w:p>
    <w:p w14:paraId="36175D94" w14:textId="77777777" w:rsidR="00A4604C" w:rsidRDefault="00A4604C" w:rsidP="00A4604C">
      <w:pPr>
        <w:pStyle w:val="ListParagraph"/>
        <w:numPr>
          <w:ilvl w:val="0"/>
          <w:numId w:val="3"/>
        </w:numPr>
        <w:rPr>
          <w:sz w:val="28"/>
          <w:szCs w:val="28"/>
        </w:rPr>
      </w:pPr>
      <w:r>
        <w:rPr>
          <w:sz w:val="28"/>
          <w:szCs w:val="28"/>
        </w:rPr>
        <w:t xml:space="preserve">Airfare comparison – Required for personal travel days and or flight upgrades.  Users must provide comparisons for same day travel and should take screenshots of comparable travel, excluding the personal days and/or for the most economical unrestricted coach fare when booking airfare.  Screenshots must be attached to the respective expense line in the expense report. If personal funds were used, users should input the comparison rate(s) when requesting reimbursement.  When TCU credit cards are used, users should itemize the expense line and code the difference to Personal/Non-Reimbursable. </w:t>
      </w:r>
    </w:p>
    <w:p w14:paraId="05738D91" w14:textId="77777777" w:rsidR="007B25AC" w:rsidRDefault="007B25AC" w:rsidP="007B25AC">
      <w:pPr>
        <w:pStyle w:val="ListParagraph"/>
        <w:ind w:left="360"/>
        <w:rPr>
          <w:sz w:val="28"/>
          <w:szCs w:val="28"/>
        </w:rPr>
      </w:pPr>
    </w:p>
    <w:p w14:paraId="5AB1A81C" w14:textId="01BE87FC" w:rsidR="00FE6188" w:rsidRPr="007B25AC" w:rsidRDefault="00FE6188" w:rsidP="007B25AC">
      <w:pPr>
        <w:pStyle w:val="ListParagraph"/>
        <w:numPr>
          <w:ilvl w:val="0"/>
          <w:numId w:val="3"/>
        </w:numPr>
        <w:rPr>
          <w:sz w:val="28"/>
          <w:szCs w:val="28"/>
        </w:rPr>
      </w:pPr>
      <w:r w:rsidRPr="007B25AC">
        <w:rPr>
          <w:sz w:val="28"/>
          <w:szCs w:val="28"/>
        </w:rPr>
        <w:t>Alert</w:t>
      </w:r>
      <w:r w:rsidR="00F51A3B" w:rsidRPr="007B25AC">
        <w:rPr>
          <w:sz w:val="28"/>
          <w:szCs w:val="28"/>
        </w:rPr>
        <w:t>s</w:t>
      </w:r>
    </w:p>
    <w:p w14:paraId="7787D9DD" w14:textId="407A45DC" w:rsidR="00F51A3B" w:rsidRDefault="00463029" w:rsidP="00F51A3B">
      <w:pPr>
        <w:pStyle w:val="ListParagraph"/>
        <w:numPr>
          <w:ilvl w:val="1"/>
          <w:numId w:val="5"/>
        </w:numPr>
        <w:rPr>
          <w:sz w:val="28"/>
          <w:szCs w:val="28"/>
        </w:rPr>
      </w:pPr>
      <w:r>
        <w:rPr>
          <w:sz w:val="28"/>
          <w:szCs w:val="28"/>
        </w:rPr>
        <w:t xml:space="preserve">Alerts with </w:t>
      </w:r>
      <w:r w:rsidRPr="00463029">
        <w:rPr>
          <w:noProof/>
          <w:sz w:val="28"/>
          <w:szCs w:val="28"/>
        </w:rPr>
        <w:drawing>
          <wp:inline distT="0" distB="0" distL="0" distR="0" wp14:anchorId="72DA2BB0" wp14:editId="36CB02E3">
            <wp:extent cx="238158" cy="200053"/>
            <wp:effectExtent l="0" t="0" r="9525" b="9525"/>
            <wp:docPr id="529414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414663" name=""/>
                    <pic:cNvPicPr/>
                  </pic:nvPicPr>
                  <pic:blipFill>
                    <a:blip r:embed="rId7"/>
                    <a:stretch>
                      <a:fillRect/>
                    </a:stretch>
                  </pic:blipFill>
                  <pic:spPr>
                    <a:xfrm>
                      <a:off x="0" y="0"/>
                      <a:ext cx="238158" cy="200053"/>
                    </a:xfrm>
                    <a:prstGeom prst="rect">
                      <a:avLst/>
                    </a:prstGeom>
                  </pic:spPr>
                </pic:pic>
              </a:graphicData>
            </a:graphic>
          </wp:inline>
        </w:drawing>
      </w:r>
      <w:r>
        <w:rPr>
          <w:sz w:val="28"/>
          <w:szCs w:val="28"/>
        </w:rPr>
        <w:t xml:space="preserve">are informational – some alerts allow users to submit reports, while others require action </w:t>
      </w:r>
      <w:r w:rsidR="00CF4D4F">
        <w:rPr>
          <w:sz w:val="28"/>
          <w:szCs w:val="28"/>
        </w:rPr>
        <w:t>to</w:t>
      </w:r>
      <w:r>
        <w:rPr>
          <w:sz w:val="28"/>
          <w:szCs w:val="28"/>
        </w:rPr>
        <w:t xml:space="preserve"> submit</w:t>
      </w:r>
    </w:p>
    <w:p w14:paraId="75B13DA5" w14:textId="0B4FF977" w:rsidR="00463029" w:rsidRDefault="00463029" w:rsidP="00F51A3B">
      <w:pPr>
        <w:pStyle w:val="ListParagraph"/>
        <w:numPr>
          <w:ilvl w:val="1"/>
          <w:numId w:val="5"/>
        </w:numPr>
        <w:rPr>
          <w:sz w:val="28"/>
          <w:szCs w:val="28"/>
        </w:rPr>
      </w:pPr>
      <w:r>
        <w:rPr>
          <w:sz w:val="28"/>
          <w:szCs w:val="28"/>
        </w:rPr>
        <w:t xml:space="preserve">Alerts with </w:t>
      </w:r>
      <w:r w:rsidRPr="00463029">
        <w:rPr>
          <w:noProof/>
          <w:sz w:val="28"/>
          <w:szCs w:val="28"/>
        </w:rPr>
        <w:drawing>
          <wp:inline distT="0" distB="0" distL="0" distR="0" wp14:anchorId="4B492877" wp14:editId="50A23EA3">
            <wp:extent cx="190527" cy="190527"/>
            <wp:effectExtent l="0" t="0" r="0" b="0"/>
            <wp:docPr id="108322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223954" name=""/>
                    <pic:cNvPicPr/>
                  </pic:nvPicPr>
                  <pic:blipFill>
                    <a:blip r:embed="rId8"/>
                    <a:stretch>
                      <a:fillRect/>
                    </a:stretch>
                  </pic:blipFill>
                  <pic:spPr>
                    <a:xfrm>
                      <a:off x="0" y="0"/>
                      <a:ext cx="190527" cy="190527"/>
                    </a:xfrm>
                    <a:prstGeom prst="rect">
                      <a:avLst/>
                    </a:prstGeom>
                  </pic:spPr>
                </pic:pic>
              </a:graphicData>
            </a:graphic>
          </wp:inline>
        </w:drawing>
      </w:r>
      <w:r>
        <w:rPr>
          <w:sz w:val="28"/>
          <w:szCs w:val="28"/>
        </w:rPr>
        <w:t xml:space="preserve"> require action, users will not be able to submit until requirements are met</w:t>
      </w:r>
    </w:p>
    <w:p w14:paraId="56A5A244" w14:textId="77777777" w:rsidR="00EF4B4E" w:rsidRDefault="00EF4B4E" w:rsidP="00EF4B4E">
      <w:pPr>
        <w:pStyle w:val="ListParagraph"/>
        <w:ind w:left="0"/>
        <w:rPr>
          <w:sz w:val="28"/>
          <w:szCs w:val="28"/>
        </w:rPr>
      </w:pPr>
    </w:p>
    <w:p w14:paraId="339E3CF1" w14:textId="028E819E" w:rsidR="00EF4B4E" w:rsidRDefault="00EF4B4E" w:rsidP="00EF4B4E">
      <w:pPr>
        <w:pStyle w:val="ListParagraph"/>
        <w:ind w:left="285"/>
        <w:rPr>
          <w:sz w:val="28"/>
          <w:szCs w:val="28"/>
        </w:rPr>
      </w:pPr>
      <w:r>
        <w:rPr>
          <w:sz w:val="28"/>
          <w:szCs w:val="28"/>
        </w:rPr>
        <w:t>Users should follow link(s) in alerts to</w:t>
      </w:r>
      <w:r w:rsidR="00CF4D4F">
        <w:rPr>
          <w:sz w:val="28"/>
          <w:szCs w:val="28"/>
        </w:rPr>
        <w:t xml:space="preserve"> obtain information regarding </w:t>
      </w:r>
      <w:r>
        <w:rPr>
          <w:sz w:val="28"/>
          <w:szCs w:val="28"/>
        </w:rPr>
        <w:t xml:space="preserve">requirements.  Some alerts require users to submit the report before the alert is cleared.  After making required changes, users should submit their report.  </w:t>
      </w:r>
    </w:p>
    <w:p w14:paraId="523E351F" w14:textId="77777777" w:rsidR="0039334E" w:rsidRDefault="0039334E" w:rsidP="00EF4B4E">
      <w:pPr>
        <w:pStyle w:val="ListParagraph"/>
        <w:ind w:left="285"/>
        <w:rPr>
          <w:sz w:val="28"/>
          <w:szCs w:val="28"/>
        </w:rPr>
      </w:pPr>
    </w:p>
    <w:p w14:paraId="5B59DBBD" w14:textId="77777777" w:rsidR="007B25AC" w:rsidRDefault="007B25AC" w:rsidP="00EF4B4E">
      <w:pPr>
        <w:pStyle w:val="ListParagraph"/>
        <w:ind w:left="285"/>
        <w:rPr>
          <w:sz w:val="28"/>
          <w:szCs w:val="28"/>
        </w:rPr>
      </w:pPr>
    </w:p>
    <w:p w14:paraId="0E1A89AC" w14:textId="56076692" w:rsidR="007B25AC" w:rsidRDefault="007B25AC" w:rsidP="007B25AC">
      <w:pPr>
        <w:pStyle w:val="ListParagraph"/>
        <w:ind w:left="0"/>
        <w:rPr>
          <w:b/>
          <w:bCs/>
          <w:color w:val="7030A0"/>
          <w:sz w:val="28"/>
          <w:szCs w:val="28"/>
        </w:rPr>
      </w:pPr>
      <w:r w:rsidRPr="007B25AC">
        <w:rPr>
          <w:b/>
          <w:bCs/>
          <w:color w:val="7030A0"/>
          <w:sz w:val="28"/>
          <w:szCs w:val="28"/>
        </w:rPr>
        <w:lastRenderedPageBreak/>
        <w:t>Report</w:t>
      </w:r>
      <w:r w:rsidR="00F26EE5">
        <w:rPr>
          <w:b/>
          <w:bCs/>
          <w:color w:val="7030A0"/>
          <w:sz w:val="28"/>
          <w:szCs w:val="28"/>
        </w:rPr>
        <w:t xml:space="preserve"> (</w:t>
      </w:r>
      <w:r w:rsidR="003A4A67">
        <w:rPr>
          <w:b/>
          <w:bCs/>
          <w:color w:val="7030A0"/>
          <w:sz w:val="28"/>
          <w:szCs w:val="28"/>
        </w:rPr>
        <w:t xml:space="preserve">AKA </w:t>
      </w:r>
      <w:r w:rsidR="00F26EE5">
        <w:rPr>
          <w:b/>
          <w:bCs/>
          <w:color w:val="7030A0"/>
          <w:sz w:val="28"/>
          <w:szCs w:val="28"/>
        </w:rPr>
        <w:t>Expense</w:t>
      </w:r>
      <w:r w:rsidR="001B78DD">
        <w:rPr>
          <w:b/>
          <w:bCs/>
          <w:color w:val="7030A0"/>
          <w:sz w:val="28"/>
          <w:szCs w:val="28"/>
        </w:rPr>
        <w:t xml:space="preserve"> Report</w:t>
      </w:r>
      <w:r w:rsidR="00F26EE5">
        <w:rPr>
          <w:b/>
          <w:bCs/>
          <w:color w:val="7030A0"/>
          <w:sz w:val="28"/>
          <w:szCs w:val="28"/>
        </w:rPr>
        <w:t>)</w:t>
      </w:r>
      <w:r w:rsidRPr="007B25AC">
        <w:rPr>
          <w:b/>
          <w:bCs/>
          <w:color w:val="7030A0"/>
          <w:sz w:val="28"/>
          <w:szCs w:val="28"/>
        </w:rPr>
        <w:t xml:space="preserve"> Terms</w:t>
      </w:r>
    </w:p>
    <w:p w14:paraId="6E0F68E1" w14:textId="77777777" w:rsidR="00F26EE5" w:rsidRDefault="00F26EE5" w:rsidP="007B25AC">
      <w:pPr>
        <w:pStyle w:val="ListParagraph"/>
        <w:ind w:left="0"/>
        <w:rPr>
          <w:b/>
          <w:bCs/>
          <w:color w:val="7030A0"/>
          <w:sz w:val="28"/>
          <w:szCs w:val="28"/>
        </w:rPr>
      </w:pPr>
    </w:p>
    <w:p w14:paraId="6BE08BE9" w14:textId="16AD1B45" w:rsidR="00702466" w:rsidRDefault="00702466" w:rsidP="0039334E">
      <w:pPr>
        <w:pStyle w:val="ListParagraph"/>
        <w:numPr>
          <w:ilvl w:val="0"/>
          <w:numId w:val="7"/>
        </w:numPr>
        <w:rPr>
          <w:sz w:val="28"/>
          <w:szCs w:val="28"/>
        </w:rPr>
      </w:pPr>
      <w:r>
        <w:rPr>
          <w:sz w:val="28"/>
          <w:szCs w:val="28"/>
        </w:rPr>
        <w:t xml:space="preserve">Allocation - A feature in Concur which allows users to charge portions of an expense to more than one department code.  </w:t>
      </w:r>
    </w:p>
    <w:p w14:paraId="4C762F66" w14:textId="57EE4BD8" w:rsidR="00F26EE5" w:rsidRPr="0039334E" w:rsidRDefault="00F26EE5" w:rsidP="0039334E">
      <w:pPr>
        <w:pStyle w:val="ListParagraph"/>
        <w:numPr>
          <w:ilvl w:val="0"/>
          <w:numId w:val="7"/>
        </w:numPr>
        <w:rPr>
          <w:sz w:val="28"/>
          <w:szCs w:val="28"/>
        </w:rPr>
      </w:pPr>
      <w:r w:rsidRPr="0039334E">
        <w:rPr>
          <w:sz w:val="28"/>
          <w:szCs w:val="28"/>
        </w:rPr>
        <w:t xml:space="preserve">Available Expenses – Represents TCU </w:t>
      </w:r>
      <w:r w:rsidR="001B78DD" w:rsidRPr="0039334E">
        <w:rPr>
          <w:sz w:val="28"/>
          <w:szCs w:val="28"/>
        </w:rPr>
        <w:t xml:space="preserve">credit </w:t>
      </w:r>
      <w:r w:rsidRPr="0039334E">
        <w:rPr>
          <w:sz w:val="28"/>
          <w:szCs w:val="28"/>
        </w:rPr>
        <w:t xml:space="preserve">card charges.  Card charges are imported </w:t>
      </w:r>
      <w:r w:rsidR="000F312A" w:rsidRPr="0039334E">
        <w:rPr>
          <w:sz w:val="28"/>
          <w:szCs w:val="28"/>
        </w:rPr>
        <w:t>o</w:t>
      </w:r>
      <w:r w:rsidRPr="0039334E">
        <w:rPr>
          <w:sz w:val="28"/>
          <w:szCs w:val="28"/>
        </w:rPr>
        <w:t>nto users Concur dashboard 3-5 days after the transaction</w:t>
      </w:r>
      <w:r w:rsidR="001B78DD" w:rsidRPr="0039334E">
        <w:rPr>
          <w:sz w:val="28"/>
          <w:szCs w:val="28"/>
        </w:rPr>
        <w:t xml:space="preserve">.  Users must wait for TCU credit card charges to post to </w:t>
      </w:r>
      <w:r w:rsidR="000F312A" w:rsidRPr="0039334E">
        <w:rPr>
          <w:sz w:val="28"/>
          <w:szCs w:val="28"/>
        </w:rPr>
        <w:t xml:space="preserve">their </w:t>
      </w:r>
      <w:r w:rsidR="001B78DD" w:rsidRPr="0039334E">
        <w:rPr>
          <w:sz w:val="28"/>
          <w:szCs w:val="28"/>
        </w:rPr>
        <w:t>Concur</w:t>
      </w:r>
      <w:r w:rsidR="000F312A" w:rsidRPr="0039334E">
        <w:rPr>
          <w:sz w:val="28"/>
          <w:szCs w:val="28"/>
        </w:rPr>
        <w:t xml:space="preserve"> dashboard</w:t>
      </w:r>
      <w:r w:rsidR="001B78DD" w:rsidRPr="0039334E">
        <w:rPr>
          <w:sz w:val="28"/>
          <w:szCs w:val="28"/>
        </w:rPr>
        <w:t xml:space="preserve"> before submitting their report.  Users should not use the New Expense tab to</w:t>
      </w:r>
      <w:r w:rsidR="000F312A" w:rsidRPr="0039334E">
        <w:rPr>
          <w:sz w:val="28"/>
          <w:szCs w:val="28"/>
        </w:rPr>
        <w:t xml:space="preserve"> add expenses to a report if paid with a TCU credit card. </w:t>
      </w:r>
    </w:p>
    <w:p w14:paraId="2D3CA5DF" w14:textId="5371B831" w:rsidR="00F26EE5" w:rsidRDefault="00F26EE5" w:rsidP="00F26EE5">
      <w:pPr>
        <w:pStyle w:val="ListParagraph"/>
        <w:numPr>
          <w:ilvl w:val="0"/>
          <w:numId w:val="7"/>
        </w:numPr>
        <w:rPr>
          <w:sz w:val="28"/>
          <w:szCs w:val="28"/>
        </w:rPr>
      </w:pPr>
      <w:r>
        <w:rPr>
          <w:sz w:val="28"/>
          <w:szCs w:val="28"/>
        </w:rPr>
        <w:t xml:space="preserve">Combine </w:t>
      </w:r>
      <w:r w:rsidR="00985B8E">
        <w:rPr>
          <w:sz w:val="28"/>
          <w:szCs w:val="28"/>
        </w:rPr>
        <w:t>Expenses – Used to match expenses uploaded through the Concur app to the</w:t>
      </w:r>
      <w:r w:rsidR="000F312A">
        <w:rPr>
          <w:sz w:val="28"/>
          <w:szCs w:val="28"/>
        </w:rPr>
        <w:t xml:space="preserve"> respective</w:t>
      </w:r>
      <w:r w:rsidR="00985B8E">
        <w:rPr>
          <w:sz w:val="28"/>
          <w:szCs w:val="28"/>
        </w:rPr>
        <w:t xml:space="preserve"> TCU credit card charge.  When using the Concur </w:t>
      </w:r>
      <w:r w:rsidR="000F312A">
        <w:rPr>
          <w:sz w:val="28"/>
          <w:szCs w:val="28"/>
        </w:rPr>
        <w:t>a</w:t>
      </w:r>
      <w:r w:rsidR="00985B8E">
        <w:rPr>
          <w:sz w:val="28"/>
          <w:szCs w:val="28"/>
        </w:rPr>
        <w:t>pp, users must wait for the TCU</w:t>
      </w:r>
      <w:r w:rsidR="000F312A">
        <w:rPr>
          <w:sz w:val="28"/>
          <w:szCs w:val="28"/>
        </w:rPr>
        <w:t xml:space="preserve"> credit</w:t>
      </w:r>
      <w:r w:rsidR="00985B8E">
        <w:rPr>
          <w:sz w:val="28"/>
          <w:szCs w:val="28"/>
        </w:rPr>
        <w:t xml:space="preserve"> card charge(s) to post to Available Expenses on their Concur dashboard.  Matching of expenses (from Concur app to Available Expenses) should happen automatically, however in some cases Concur is unable to match, in those cases use</w:t>
      </w:r>
      <w:r w:rsidR="000F312A">
        <w:rPr>
          <w:sz w:val="28"/>
          <w:szCs w:val="28"/>
        </w:rPr>
        <w:t>r</w:t>
      </w:r>
      <w:r w:rsidR="00985B8E">
        <w:rPr>
          <w:sz w:val="28"/>
          <w:szCs w:val="28"/>
        </w:rPr>
        <w:t>s can manually match using the Combine Expenses feature.</w:t>
      </w:r>
    </w:p>
    <w:p w14:paraId="1DA0D4C2" w14:textId="74FABDF7" w:rsidR="00821B6C" w:rsidRDefault="00F26EE5" w:rsidP="00F26EE5">
      <w:pPr>
        <w:pStyle w:val="ListParagraph"/>
        <w:numPr>
          <w:ilvl w:val="0"/>
          <w:numId w:val="7"/>
        </w:numPr>
        <w:rPr>
          <w:sz w:val="28"/>
          <w:szCs w:val="28"/>
        </w:rPr>
      </w:pPr>
      <w:r>
        <w:rPr>
          <w:sz w:val="28"/>
          <w:szCs w:val="28"/>
        </w:rPr>
        <w:t xml:space="preserve">Employee Paid – Represents expenses incurred with personal funds (i.e. not TCU </w:t>
      </w:r>
      <w:r w:rsidR="000F312A">
        <w:rPr>
          <w:sz w:val="28"/>
          <w:szCs w:val="28"/>
        </w:rPr>
        <w:t xml:space="preserve">credit </w:t>
      </w:r>
      <w:r>
        <w:rPr>
          <w:sz w:val="28"/>
          <w:szCs w:val="28"/>
        </w:rPr>
        <w:t>cards).  Users should r</w:t>
      </w:r>
      <w:r w:rsidR="000F312A">
        <w:rPr>
          <w:sz w:val="28"/>
          <w:szCs w:val="28"/>
        </w:rPr>
        <w:t xml:space="preserve">equest reimbursement </w:t>
      </w:r>
      <w:r>
        <w:rPr>
          <w:sz w:val="28"/>
          <w:szCs w:val="28"/>
        </w:rPr>
        <w:t>within 30 days of the transaction.  Select the New Expense tab in the Concur report to add employee paid expense</w:t>
      </w:r>
      <w:r w:rsidR="000F312A">
        <w:rPr>
          <w:sz w:val="28"/>
          <w:szCs w:val="28"/>
        </w:rPr>
        <w:t>s</w:t>
      </w:r>
      <w:r>
        <w:rPr>
          <w:sz w:val="28"/>
          <w:szCs w:val="28"/>
        </w:rPr>
        <w:t xml:space="preserve">. </w:t>
      </w:r>
    </w:p>
    <w:p w14:paraId="21618790" w14:textId="19F5B1A4" w:rsidR="00F26EE5" w:rsidRDefault="00821B6C" w:rsidP="00F26EE5">
      <w:pPr>
        <w:pStyle w:val="ListParagraph"/>
        <w:numPr>
          <w:ilvl w:val="0"/>
          <w:numId w:val="7"/>
        </w:numPr>
        <w:rPr>
          <w:sz w:val="28"/>
          <w:szCs w:val="28"/>
        </w:rPr>
      </w:pPr>
      <w:r>
        <w:rPr>
          <w:sz w:val="28"/>
          <w:szCs w:val="28"/>
        </w:rPr>
        <w:t xml:space="preserve">Expense Type – Users select expense types from </w:t>
      </w:r>
      <w:r w:rsidR="000B44F1">
        <w:rPr>
          <w:sz w:val="28"/>
          <w:szCs w:val="28"/>
        </w:rPr>
        <w:t xml:space="preserve">lists </w:t>
      </w:r>
      <w:r>
        <w:rPr>
          <w:sz w:val="28"/>
          <w:szCs w:val="28"/>
        </w:rPr>
        <w:t>provided</w:t>
      </w:r>
      <w:r w:rsidR="000B44F1">
        <w:rPr>
          <w:sz w:val="28"/>
          <w:szCs w:val="28"/>
        </w:rPr>
        <w:t xml:space="preserve"> in Concur</w:t>
      </w:r>
      <w:r>
        <w:rPr>
          <w:sz w:val="28"/>
          <w:szCs w:val="28"/>
        </w:rPr>
        <w:t xml:space="preserve"> to record transactions.  Users should select the expense type that best represents what was purchased.  Use of Other Expense should be limited and requires additional information.  Expense types determine the budget </w:t>
      </w:r>
      <w:r w:rsidR="000B44F1">
        <w:rPr>
          <w:sz w:val="28"/>
          <w:szCs w:val="28"/>
        </w:rPr>
        <w:t>a</w:t>
      </w:r>
      <w:r>
        <w:rPr>
          <w:sz w:val="28"/>
          <w:szCs w:val="28"/>
        </w:rPr>
        <w:t xml:space="preserve">ccount </w:t>
      </w:r>
      <w:r w:rsidRPr="0039334E">
        <w:rPr>
          <w:sz w:val="28"/>
          <w:szCs w:val="28"/>
        </w:rPr>
        <w:t>code</w:t>
      </w:r>
      <w:r w:rsidR="00206DEC" w:rsidRPr="0039334E">
        <w:rPr>
          <w:sz w:val="28"/>
          <w:szCs w:val="28"/>
        </w:rPr>
        <w:t xml:space="preserve"> to which</w:t>
      </w:r>
      <w:r w:rsidRPr="0039334E">
        <w:rPr>
          <w:sz w:val="28"/>
          <w:szCs w:val="28"/>
        </w:rPr>
        <w:t xml:space="preserve"> a </w:t>
      </w:r>
      <w:r>
        <w:rPr>
          <w:sz w:val="28"/>
          <w:szCs w:val="28"/>
        </w:rPr>
        <w:t>transaction</w:t>
      </w:r>
      <w:r w:rsidR="00D4782F">
        <w:rPr>
          <w:sz w:val="28"/>
          <w:szCs w:val="28"/>
        </w:rPr>
        <w:t xml:space="preserve"> will be </w:t>
      </w:r>
      <w:r>
        <w:rPr>
          <w:sz w:val="28"/>
          <w:szCs w:val="28"/>
        </w:rPr>
        <w:t xml:space="preserve">charged.  </w:t>
      </w:r>
      <w:r w:rsidR="00D201C2">
        <w:rPr>
          <w:sz w:val="28"/>
          <w:szCs w:val="28"/>
        </w:rPr>
        <w:t xml:space="preserve">Users can view a crosswalk of Account </w:t>
      </w:r>
      <w:r w:rsidR="000B44F1">
        <w:rPr>
          <w:sz w:val="28"/>
          <w:szCs w:val="28"/>
        </w:rPr>
        <w:t>C</w:t>
      </w:r>
      <w:r w:rsidR="00D201C2">
        <w:rPr>
          <w:sz w:val="28"/>
          <w:szCs w:val="28"/>
        </w:rPr>
        <w:t xml:space="preserve">odes to Expense Types on the Concur website in the FAQ section. </w:t>
      </w:r>
      <w:r w:rsidR="00F26EE5">
        <w:rPr>
          <w:sz w:val="28"/>
          <w:szCs w:val="28"/>
        </w:rPr>
        <w:t xml:space="preserve"> </w:t>
      </w:r>
    </w:p>
    <w:p w14:paraId="67516FF3" w14:textId="5D2C5CB4" w:rsidR="00702466" w:rsidRDefault="00702466" w:rsidP="00F26EE5">
      <w:pPr>
        <w:pStyle w:val="ListParagraph"/>
        <w:numPr>
          <w:ilvl w:val="0"/>
          <w:numId w:val="7"/>
        </w:numPr>
        <w:rPr>
          <w:sz w:val="28"/>
          <w:szCs w:val="28"/>
        </w:rPr>
      </w:pPr>
      <w:r>
        <w:rPr>
          <w:sz w:val="28"/>
          <w:szCs w:val="28"/>
        </w:rPr>
        <w:t xml:space="preserve">Itemization – A feature in Concur which allows users to charge portions of an expense to more than one expense </w:t>
      </w:r>
      <w:r w:rsidR="00B10901">
        <w:rPr>
          <w:sz w:val="28"/>
          <w:szCs w:val="28"/>
        </w:rPr>
        <w:t>type,</w:t>
      </w:r>
      <w:r>
        <w:rPr>
          <w:sz w:val="28"/>
          <w:szCs w:val="28"/>
        </w:rPr>
        <w:t xml:space="preserve"> which drives the budget account code. </w:t>
      </w:r>
    </w:p>
    <w:p w14:paraId="39267B1C" w14:textId="2E0F72BD" w:rsidR="00830162" w:rsidRDefault="00830162" w:rsidP="00F26EE5">
      <w:pPr>
        <w:pStyle w:val="ListParagraph"/>
        <w:numPr>
          <w:ilvl w:val="0"/>
          <w:numId w:val="7"/>
        </w:numPr>
        <w:rPr>
          <w:sz w:val="28"/>
          <w:szCs w:val="28"/>
        </w:rPr>
      </w:pPr>
      <w:r>
        <w:rPr>
          <w:sz w:val="28"/>
          <w:szCs w:val="28"/>
        </w:rPr>
        <w:t>Itinerary – Required in Concur when requesting a travel allowance (</w:t>
      </w:r>
      <w:r w:rsidR="00690A4D">
        <w:rPr>
          <w:sz w:val="28"/>
          <w:szCs w:val="28"/>
        </w:rPr>
        <w:t xml:space="preserve">AKA </w:t>
      </w:r>
      <w:r>
        <w:rPr>
          <w:sz w:val="28"/>
          <w:szCs w:val="28"/>
        </w:rPr>
        <w:t>per diem</w:t>
      </w:r>
      <w:r w:rsidR="000E184A">
        <w:rPr>
          <w:sz w:val="28"/>
          <w:szCs w:val="28"/>
        </w:rPr>
        <w:t>, see #</w:t>
      </w:r>
      <w:r w:rsidR="003406D8">
        <w:rPr>
          <w:sz w:val="28"/>
          <w:szCs w:val="28"/>
        </w:rPr>
        <w:t>11</w:t>
      </w:r>
      <w:r w:rsidR="000E184A">
        <w:rPr>
          <w:sz w:val="28"/>
          <w:szCs w:val="28"/>
        </w:rPr>
        <w:t xml:space="preserve"> below</w:t>
      </w:r>
      <w:r>
        <w:rPr>
          <w:sz w:val="28"/>
          <w:szCs w:val="28"/>
        </w:rPr>
        <w:t>).  Users must enter Itinerary Stop information in Concur</w:t>
      </w:r>
      <w:r w:rsidR="00690A4D">
        <w:rPr>
          <w:sz w:val="28"/>
          <w:szCs w:val="28"/>
        </w:rPr>
        <w:t xml:space="preserve"> in order to complete the travel allowance request</w:t>
      </w:r>
      <w:r>
        <w:rPr>
          <w:sz w:val="28"/>
          <w:szCs w:val="28"/>
        </w:rPr>
        <w:t xml:space="preserve">.  An Itinerary Stop details departure city and arrival city for each flight (i.e. outbound and inbound).  Users must enter a total of 4 stops for round trip travel.    </w:t>
      </w:r>
    </w:p>
    <w:p w14:paraId="6E96449C" w14:textId="06834876" w:rsidR="007550C0" w:rsidRDefault="003A4A67" w:rsidP="00F26EE5">
      <w:pPr>
        <w:pStyle w:val="ListParagraph"/>
        <w:numPr>
          <w:ilvl w:val="0"/>
          <w:numId w:val="7"/>
        </w:numPr>
        <w:rPr>
          <w:sz w:val="28"/>
          <w:szCs w:val="28"/>
        </w:rPr>
      </w:pPr>
      <w:r>
        <w:rPr>
          <w:sz w:val="28"/>
          <w:szCs w:val="28"/>
        </w:rPr>
        <w:lastRenderedPageBreak/>
        <w:t xml:space="preserve">Pending Card Transaction – </w:t>
      </w:r>
      <w:r w:rsidR="00690A4D">
        <w:rPr>
          <w:sz w:val="28"/>
          <w:szCs w:val="28"/>
        </w:rPr>
        <w:t>Acts as a p</w:t>
      </w:r>
      <w:r>
        <w:rPr>
          <w:sz w:val="28"/>
          <w:szCs w:val="28"/>
        </w:rPr>
        <w:t xml:space="preserve">ayment </w:t>
      </w:r>
      <w:r w:rsidR="00690A4D">
        <w:rPr>
          <w:sz w:val="28"/>
          <w:szCs w:val="28"/>
        </w:rPr>
        <w:t>t</w:t>
      </w:r>
      <w:r>
        <w:rPr>
          <w:sz w:val="28"/>
          <w:szCs w:val="28"/>
        </w:rPr>
        <w:t xml:space="preserve">ype place holder.  Users cannot submit reports with a payment type of Pending Card Transaction. </w:t>
      </w:r>
      <w:r w:rsidR="00366295">
        <w:rPr>
          <w:sz w:val="28"/>
          <w:szCs w:val="28"/>
        </w:rPr>
        <w:t xml:space="preserve">TCU card charges will automatically update the payment type field to represent the card purchase once TCU </w:t>
      </w:r>
      <w:r w:rsidR="00690A4D">
        <w:rPr>
          <w:sz w:val="28"/>
          <w:szCs w:val="28"/>
        </w:rPr>
        <w:t xml:space="preserve">credit </w:t>
      </w:r>
      <w:r w:rsidR="00366295">
        <w:rPr>
          <w:sz w:val="28"/>
          <w:szCs w:val="28"/>
        </w:rPr>
        <w:t xml:space="preserve">card charges are posted.  Users who did not use a TCU </w:t>
      </w:r>
      <w:r w:rsidR="00690A4D">
        <w:rPr>
          <w:sz w:val="28"/>
          <w:szCs w:val="28"/>
        </w:rPr>
        <w:t xml:space="preserve">credit </w:t>
      </w:r>
      <w:r w:rsidR="00366295">
        <w:rPr>
          <w:sz w:val="28"/>
          <w:szCs w:val="28"/>
        </w:rPr>
        <w:t xml:space="preserve">card must use the dropdown arrow to select </w:t>
      </w:r>
      <w:r w:rsidR="00690A4D">
        <w:rPr>
          <w:sz w:val="28"/>
          <w:szCs w:val="28"/>
        </w:rPr>
        <w:t xml:space="preserve">the </w:t>
      </w:r>
      <w:r w:rsidR="00366295">
        <w:rPr>
          <w:sz w:val="28"/>
          <w:szCs w:val="28"/>
        </w:rPr>
        <w:t xml:space="preserve">accurate payment type. </w:t>
      </w:r>
    </w:p>
    <w:p w14:paraId="645881B2" w14:textId="77777777" w:rsidR="007F0844" w:rsidRDefault="00821B6C" w:rsidP="007F0844">
      <w:pPr>
        <w:pStyle w:val="ListParagraph"/>
        <w:numPr>
          <w:ilvl w:val="0"/>
          <w:numId w:val="7"/>
        </w:numPr>
        <w:rPr>
          <w:sz w:val="28"/>
          <w:szCs w:val="28"/>
        </w:rPr>
      </w:pPr>
      <w:r>
        <w:rPr>
          <w:sz w:val="28"/>
          <w:szCs w:val="28"/>
        </w:rPr>
        <w:t xml:space="preserve">Print Share – Provides detailed information regarding the expenses included in a report, including budget (Account, Fund, Department) information.  It is suggested submitters and approvers review the TCU Report Budget Code report before submitting or approving reports.  </w:t>
      </w:r>
    </w:p>
    <w:p w14:paraId="05EA7463" w14:textId="0F810990" w:rsidR="0039334E" w:rsidRPr="007F0844" w:rsidRDefault="00821B6C" w:rsidP="007F0844">
      <w:pPr>
        <w:pStyle w:val="ListParagraph"/>
        <w:numPr>
          <w:ilvl w:val="0"/>
          <w:numId w:val="7"/>
        </w:numPr>
        <w:rPr>
          <w:sz w:val="28"/>
          <w:szCs w:val="28"/>
        </w:rPr>
      </w:pPr>
      <w:r w:rsidRPr="007F0844">
        <w:rPr>
          <w:sz w:val="28"/>
          <w:szCs w:val="28"/>
        </w:rPr>
        <w:t xml:space="preserve">Report Details – Provides information regarding your report, including report header details, report totals, report timeline and audit trail information. </w:t>
      </w:r>
    </w:p>
    <w:p w14:paraId="2F79F0DE" w14:textId="04C7F40E" w:rsidR="00F26EE5" w:rsidRPr="0039334E" w:rsidRDefault="007550C0" w:rsidP="0039334E">
      <w:pPr>
        <w:pStyle w:val="ListParagraph"/>
        <w:numPr>
          <w:ilvl w:val="0"/>
          <w:numId w:val="7"/>
        </w:numPr>
        <w:rPr>
          <w:sz w:val="28"/>
          <w:szCs w:val="28"/>
        </w:rPr>
      </w:pPr>
      <w:r w:rsidRPr="0039334E">
        <w:rPr>
          <w:sz w:val="28"/>
          <w:szCs w:val="28"/>
        </w:rPr>
        <w:t xml:space="preserve">Travel Allowance – Represents per diem in Concur.  Employees are allowed a daily allowance (per diem) to cover business related meals and incidentals when traveling.  </w:t>
      </w:r>
      <w:r w:rsidR="00221B30" w:rsidRPr="0039334E">
        <w:rPr>
          <w:sz w:val="28"/>
          <w:szCs w:val="28"/>
        </w:rPr>
        <w:t xml:space="preserve">Per IRS requirements, travel allowances are </w:t>
      </w:r>
      <w:r w:rsidR="000E184A" w:rsidRPr="0039334E">
        <w:rPr>
          <w:sz w:val="28"/>
          <w:szCs w:val="28"/>
        </w:rPr>
        <w:t xml:space="preserve">reduced to </w:t>
      </w:r>
      <w:r w:rsidR="00221B30" w:rsidRPr="0039334E">
        <w:rPr>
          <w:sz w:val="28"/>
          <w:szCs w:val="28"/>
        </w:rPr>
        <w:t>75% of</w:t>
      </w:r>
      <w:r w:rsidR="000E184A" w:rsidRPr="0039334E">
        <w:rPr>
          <w:sz w:val="28"/>
          <w:szCs w:val="28"/>
        </w:rPr>
        <w:t xml:space="preserve"> the daily</w:t>
      </w:r>
      <w:r w:rsidR="00221B30" w:rsidRPr="0039334E">
        <w:rPr>
          <w:sz w:val="28"/>
          <w:szCs w:val="28"/>
        </w:rPr>
        <w:t xml:space="preserve"> per diem rates on travel days.  </w:t>
      </w:r>
      <w:r w:rsidRPr="0039334E">
        <w:rPr>
          <w:sz w:val="28"/>
          <w:szCs w:val="28"/>
        </w:rPr>
        <w:t xml:space="preserve">See Expense Policy for more information regarding </w:t>
      </w:r>
      <w:r w:rsidR="000E184A" w:rsidRPr="0039334E">
        <w:rPr>
          <w:sz w:val="28"/>
          <w:szCs w:val="28"/>
        </w:rPr>
        <w:t xml:space="preserve">per diem </w:t>
      </w:r>
      <w:r w:rsidRPr="0039334E">
        <w:rPr>
          <w:sz w:val="28"/>
          <w:szCs w:val="28"/>
        </w:rPr>
        <w:t xml:space="preserve">qualifications.  Users must select “Yes, I require Travel Allowance” in the Create New Report popup to </w:t>
      </w:r>
      <w:r w:rsidR="000E184A" w:rsidRPr="0039334E">
        <w:rPr>
          <w:sz w:val="28"/>
          <w:szCs w:val="28"/>
        </w:rPr>
        <w:t>record</w:t>
      </w:r>
      <w:r w:rsidRPr="0039334E">
        <w:rPr>
          <w:sz w:val="28"/>
          <w:szCs w:val="28"/>
        </w:rPr>
        <w:t xml:space="preserve"> per diem</w:t>
      </w:r>
      <w:r w:rsidR="00A4509C" w:rsidRPr="0039334E">
        <w:rPr>
          <w:sz w:val="28"/>
          <w:szCs w:val="28"/>
        </w:rPr>
        <w:t xml:space="preserve"> amounts</w:t>
      </w:r>
      <w:r w:rsidR="000E184A" w:rsidRPr="0039334E">
        <w:rPr>
          <w:sz w:val="28"/>
          <w:szCs w:val="28"/>
        </w:rPr>
        <w:t xml:space="preserve"> in Concur</w:t>
      </w:r>
      <w:r w:rsidR="00BB3648" w:rsidRPr="0039334E">
        <w:rPr>
          <w:sz w:val="28"/>
          <w:szCs w:val="28"/>
        </w:rPr>
        <w:t xml:space="preserve">.  Users must exclude meals provided from </w:t>
      </w:r>
      <w:r w:rsidR="00221B30" w:rsidRPr="0039334E">
        <w:rPr>
          <w:sz w:val="28"/>
          <w:szCs w:val="28"/>
        </w:rPr>
        <w:t>t</w:t>
      </w:r>
      <w:r w:rsidR="00BB3648" w:rsidRPr="0039334E">
        <w:rPr>
          <w:sz w:val="28"/>
          <w:szCs w:val="28"/>
        </w:rPr>
        <w:t xml:space="preserve">ravel </w:t>
      </w:r>
      <w:r w:rsidR="00221B30" w:rsidRPr="0039334E">
        <w:rPr>
          <w:sz w:val="28"/>
          <w:szCs w:val="28"/>
        </w:rPr>
        <w:t>a</w:t>
      </w:r>
      <w:r w:rsidR="00BB3648" w:rsidRPr="0039334E">
        <w:rPr>
          <w:sz w:val="28"/>
          <w:szCs w:val="28"/>
        </w:rPr>
        <w:t>llowance amounts.</w:t>
      </w:r>
    </w:p>
    <w:p w14:paraId="71EC7D35" w14:textId="4D41EF8B" w:rsidR="00206DEC" w:rsidRPr="00206DEC" w:rsidRDefault="00206DEC" w:rsidP="0039334E">
      <w:pPr>
        <w:pStyle w:val="ListParagraph"/>
        <w:ind w:left="360"/>
        <w:rPr>
          <w:b/>
          <w:bCs/>
          <w:sz w:val="28"/>
          <w:szCs w:val="28"/>
        </w:rPr>
      </w:pPr>
    </w:p>
    <w:p w14:paraId="134F0127" w14:textId="77777777" w:rsidR="007550C0" w:rsidRPr="00F26EE5" w:rsidRDefault="007550C0" w:rsidP="000E184A">
      <w:pPr>
        <w:pStyle w:val="ListParagraph"/>
        <w:ind w:left="360"/>
        <w:rPr>
          <w:sz w:val="28"/>
          <w:szCs w:val="28"/>
        </w:rPr>
      </w:pPr>
    </w:p>
    <w:p w14:paraId="56E0AA5A" w14:textId="77777777" w:rsidR="009307F8" w:rsidRDefault="009307F8" w:rsidP="004F0604">
      <w:pPr>
        <w:pStyle w:val="ListParagraph"/>
        <w:ind w:left="0"/>
        <w:rPr>
          <w:b/>
          <w:bCs/>
          <w:color w:val="7030A0"/>
          <w:sz w:val="28"/>
          <w:szCs w:val="28"/>
        </w:rPr>
      </w:pPr>
    </w:p>
    <w:p w14:paraId="463B92FE" w14:textId="77777777" w:rsidR="009307F8" w:rsidRPr="009307F8" w:rsidRDefault="009307F8" w:rsidP="004F0604">
      <w:pPr>
        <w:pStyle w:val="ListParagraph"/>
        <w:ind w:left="0"/>
        <w:rPr>
          <w:sz w:val="28"/>
          <w:szCs w:val="28"/>
        </w:rPr>
      </w:pPr>
    </w:p>
    <w:p w14:paraId="63CA0DC8" w14:textId="77777777" w:rsidR="004F0604" w:rsidRPr="004F0604" w:rsidRDefault="004F0604" w:rsidP="004F0604">
      <w:pPr>
        <w:rPr>
          <w:sz w:val="28"/>
          <w:szCs w:val="28"/>
        </w:rPr>
      </w:pPr>
    </w:p>
    <w:p w14:paraId="445E551E" w14:textId="09080E41" w:rsidR="004F0604" w:rsidRPr="004F0604" w:rsidRDefault="004F0604" w:rsidP="004F0604">
      <w:pPr>
        <w:pStyle w:val="ListParagraph"/>
        <w:ind w:left="1080"/>
        <w:rPr>
          <w:sz w:val="28"/>
          <w:szCs w:val="28"/>
        </w:rPr>
      </w:pPr>
    </w:p>
    <w:sectPr w:rsidR="004F0604" w:rsidRPr="004F0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1961"/>
    <w:multiLevelType w:val="hybridMultilevel"/>
    <w:tmpl w:val="E31C4D7A"/>
    <w:lvl w:ilvl="0" w:tplc="04090011">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0513E8F"/>
    <w:multiLevelType w:val="hybridMultilevel"/>
    <w:tmpl w:val="44F002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13698E"/>
    <w:multiLevelType w:val="hybridMultilevel"/>
    <w:tmpl w:val="507E6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DD6A19"/>
    <w:multiLevelType w:val="hybridMultilevel"/>
    <w:tmpl w:val="BEC4E7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1FE0700"/>
    <w:multiLevelType w:val="hybridMultilevel"/>
    <w:tmpl w:val="5172E4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16170CA"/>
    <w:multiLevelType w:val="hybridMultilevel"/>
    <w:tmpl w:val="ACDE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203716"/>
    <w:multiLevelType w:val="hybridMultilevel"/>
    <w:tmpl w:val="6478DCE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52923626">
    <w:abstractNumId w:val="5"/>
  </w:num>
  <w:num w:numId="2" w16cid:durableId="1558860359">
    <w:abstractNumId w:val="2"/>
  </w:num>
  <w:num w:numId="3" w16cid:durableId="1067605773">
    <w:abstractNumId w:val="1"/>
  </w:num>
  <w:num w:numId="4" w16cid:durableId="76027051">
    <w:abstractNumId w:val="4"/>
  </w:num>
  <w:num w:numId="5" w16cid:durableId="410349075">
    <w:abstractNumId w:val="3"/>
  </w:num>
  <w:num w:numId="6" w16cid:durableId="1689671127">
    <w:abstractNumId w:val="0"/>
  </w:num>
  <w:num w:numId="7" w16cid:durableId="2970370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604"/>
    <w:rsid w:val="000165C0"/>
    <w:rsid w:val="000B44F1"/>
    <w:rsid w:val="000E00D3"/>
    <w:rsid w:val="000E184A"/>
    <w:rsid w:val="000F312A"/>
    <w:rsid w:val="00162C5E"/>
    <w:rsid w:val="001A72D7"/>
    <w:rsid w:val="001B78DD"/>
    <w:rsid w:val="00206DEC"/>
    <w:rsid w:val="00221B30"/>
    <w:rsid w:val="00250E50"/>
    <w:rsid w:val="003406D8"/>
    <w:rsid w:val="00366295"/>
    <w:rsid w:val="0039334E"/>
    <w:rsid w:val="003A4A67"/>
    <w:rsid w:val="003E2F96"/>
    <w:rsid w:val="00463029"/>
    <w:rsid w:val="004A1C0F"/>
    <w:rsid w:val="004A70B1"/>
    <w:rsid w:val="004F0604"/>
    <w:rsid w:val="005C558B"/>
    <w:rsid w:val="005E1EC8"/>
    <w:rsid w:val="00690A4D"/>
    <w:rsid w:val="00702466"/>
    <w:rsid w:val="007550C0"/>
    <w:rsid w:val="007B25AC"/>
    <w:rsid w:val="007F0844"/>
    <w:rsid w:val="00821B6C"/>
    <w:rsid w:val="00830162"/>
    <w:rsid w:val="009134FE"/>
    <w:rsid w:val="009307F8"/>
    <w:rsid w:val="00985B8E"/>
    <w:rsid w:val="009C2211"/>
    <w:rsid w:val="00A4509C"/>
    <w:rsid w:val="00A4604C"/>
    <w:rsid w:val="00AA506E"/>
    <w:rsid w:val="00B10901"/>
    <w:rsid w:val="00B7601A"/>
    <w:rsid w:val="00BB3648"/>
    <w:rsid w:val="00CA5AB5"/>
    <w:rsid w:val="00CF4D4F"/>
    <w:rsid w:val="00D201C2"/>
    <w:rsid w:val="00D4782F"/>
    <w:rsid w:val="00E106E7"/>
    <w:rsid w:val="00EB4866"/>
    <w:rsid w:val="00EF4B4E"/>
    <w:rsid w:val="00EF5705"/>
    <w:rsid w:val="00F26EE5"/>
    <w:rsid w:val="00F51A3B"/>
    <w:rsid w:val="00FE6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87AA9"/>
  <w15:chartTrackingRefBased/>
  <w15:docId w15:val="{15B65AD9-D982-4691-BF3C-0C0A61AE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06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06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06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06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06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06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06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06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06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6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06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06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06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06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06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06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06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0604"/>
    <w:rPr>
      <w:rFonts w:eastAsiaTheme="majorEastAsia" w:cstheme="majorBidi"/>
      <w:color w:val="272727" w:themeColor="text1" w:themeTint="D8"/>
    </w:rPr>
  </w:style>
  <w:style w:type="paragraph" w:styleId="Title">
    <w:name w:val="Title"/>
    <w:basedOn w:val="Normal"/>
    <w:next w:val="Normal"/>
    <w:link w:val="TitleChar"/>
    <w:uiPriority w:val="10"/>
    <w:qFormat/>
    <w:rsid w:val="004F06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6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06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06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0604"/>
    <w:pPr>
      <w:spacing w:before="160"/>
      <w:jc w:val="center"/>
    </w:pPr>
    <w:rPr>
      <w:i/>
      <w:iCs/>
      <w:color w:val="404040" w:themeColor="text1" w:themeTint="BF"/>
    </w:rPr>
  </w:style>
  <w:style w:type="character" w:customStyle="1" w:styleId="QuoteChar">
    <w:name w:val="Quote Char"/>
    <w:basedOn w:val="DefaultParagraphFont"/>
    <w:link w:val="Quote"/>
    <w:uiPriority w:val="29"/>
    <w:rsid w:val="004F0604"/>
    <w:rPr>
      <w:i/>
      <w:iCs/>
      <w:color w:val="404040" w:themeColor="text1" w:themeTint="BF"/>
    </w:rPr>
  </w:style>
  <w:style w:type="paragraph" w:styleId="ListParagraph">
    <w:name w:val="List Paragraph"/>
    <w:basedOn w:val="Normal"/>
    <w:uiPriority w:val="34"/>
    <w:qFormat/>
    <w:rsid w:val="004F0604"/>
    <w:pPr>
      <w:ind w:left="720"/>
      <w:contextualSpacing/>
    </w:pPr>
  </w:style>
  <w:style w:type="character" w:styleId="IntenseEmphasis">
    <w:name w:val="Intense Emphasis"/>
    <w:basedOn w:val="DefaultParagraphFont"/>
    <w:uiPriority w:val="21"/>
    <w:qFormat/>
    <w:rsid w:val="004F0604"/>
    <w:rPr>
      <w:i/>
      <w:iCs/>
      <w:color w:val="0F4761" w:themeColor="accent1" w:themeShade="BF"/>
    </w:rPr>
  </w:style>
  <w:style w:type="paragraph" w:styleId="IntenseQuote">
    <w:name w:val="Intense Quote"/>
    <w:basedOn w:val="Normal"/>
    <w:next w:val="Normal"/>
    <w:link w:val="IntenseQuoteChar"/>
    <w:uiPriority w:val="30"/>
    <w:qFormat/>
    <w:rsid w:val="004F06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0604"/>
    <w:rPr>
      <w:i/>
      <w:iCs/>
      <w:color w:val="0F4761" w:themeColor="accent1" w:themeShade="BF"/>
    </w:rPr>
  </w:style>
  <w:style w:type="character" w:styleId="IntenseReference">
    <w:name w:val="Intense Reference"/>
    <w:basedOn w:val="DefaultParagraphFont"/>
    <w:uiPriority w:val="32"/>
    <w:qFormat/>
    <w:rsid w:val="004F0604"/>
    <w:rPr>
      <w:b/>
      <w:bCs/>
      <w:smallCaps/>
      <w:color w:val="0F4761" w:themeColor="accent1" w:themeShade="BF"/>
      <w:spacing w:val="5"/>
    </w:rPr>
  </w:style>
  <w:style w:type="character" w:styleId="Hyperlink">
    <w:name w:val="Hyperlink"/>
    <w:basedOn w:val="DefaultParagraphFont"/>
    <w:uiPriority w:val="99"/>
    <w:unhideWhenUsed/>
    <w:rsid w:val="00702466"/>
    <w:rPr>
      <w:color w:val="467886" w:themeColor="hyperlink"/>
      <w:u w:val="single"/>
    </w:rPr>
  </w:style>
  <w:style w:type="character" w:styleId="UnresolvedMention">
    <w:name w:val="Unresolved Mention"/>
    <w:basedOn w:val="DefaultParagraphFont"/>
    <w:uiPriority w:val="99"/>
    <w:semiHidden/>
    <w:unhideWhenUsed/>
    <w:rsid w:val="00702466"/>
    <w:rPr>
      <w:color w:val="605E5C"/>
      <w:shd w:val="clear" w:color="auto" w:fill="E1DFDD"/>
    </w:rPr>
  </w:style>
  <w:style w:type="character" w:styleId="FollowedHyperlink">
    <w:name w:val="FollowedHyperlink"/>
    <w:basedOn w:val="DefaultParagraphFont"/>
    <w:uiPriority w:val="99"/>
    <w:semiHidden/>
    <w:unhideWhenUsed/>
    <w:rsid w:val="0070246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cur@tcu.edu" TargetMode="External"/><Relationship Id="rId5" Type="http://schemas.openxmlformats.org/officeDocument/2006/relationships/hyperlink" Target="https://finance.tcu.edu/contracts-procurement-travel/travel-expense/index.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Rattan, Ali</dc:creator>
  <cp:keywords/>
  <dc:description/>
  <cp:lastModifiedBy>Rattan, Ali</cp:lastModifiedBy>
  <cp:revision>5</cp:revision>
  <dcterms:created xsi:type="dcterms:W3CDTF">2024-10-25T19:08:00Z</dcterms:created>
  <dcterms:modified xsi:type="dcterms:W3CDTF">2025-04-30T17:07:00Z</dcterms:modified>
</cp:coreProperties>
</file>